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41" w:rsidRPr="00951A15" w:rsidRDefault="000E4641" w:rsidP="000E4641">
      <w:pPr>
        <w:jc w:val="center"/>
        <w:rPr>
          <w:b/>
        </w:rPr>
      </w:pPr>
      <w:r w:rsidRPr="00951A15">
        <w:rPr>
          <w:b/>
        </w:rPr>
        <w:t>P</w:t>
      </w:r>
      <w:r w:rsidR="00951A15">
        <w:rPr>
          <w:b/>
        </w:rPr>
        <w:t xml:space="preserve">HỤ </w:t>
      </w:r>
      <w:bookmarkStart w:id="0" w:name="_GoBack"/>
      <w:bookmarkEnd w:id="0"/>
      <w:r w:rsidR="00951A15">
        <w:rPr>
          <w:b/>
        </w:rPr>
        <w:t>LỤC</w:t>
      </w:r>
      <w:r w:rsidRPr="00951A15">
        <w:rPr>
          <w:b/>
        </w:rPr>
        <w:t xml:space="preserve"> </w:t>
      </w:r>
      <w:r w:rsidR="00951A15">
        <w:rPr>
          <w:b/>
        </w:rPr>
        <w:t>I</w:t>
      </w:r>
    </w:p>
    <w:p w:rsidR="008D059D" w:rsidRPr="008D059D" w:rsidRDefault="008D059D" w:rsidP="000E4641">
      <w:pPr>
        <w:jc w:val="center"/>
        <w:rPr>
          <w:b/>
          <w:sz w:val="26"/>
          <w:szCs w:val="26"/>
        </w:rPr>
      </w:pPr>
      <w:r w:rsidRPr="008D059D">
        <w:rPr>
          <w:b/>
          <w:sz w:val="26"/>
          <w:szCs w:val="26"/>
        </w:rPr>
        <w:t xml:space="preserve">DANH MỤC TIÊU CHÍ VÀ NỘI DUNG TIÊU CHÍ ĐÁNH GIÁ CHẤT LƯỢNG THỐNG KÊ ÁP DỤNG ĐỐI VỚI CƠ QUAN THỐNG KÊ BỘ, NGÀNH, </w:t>
      </w:r>
      <w:r>
        <w:rPr>
          <w:b/>
          <w:sz w:val="26"/>
          <w:szCs w:val="26"/>
        </w:rPr>
        <w:br/>
      </w:r>
      <w:r w:rsidRPr="008D059D">
        <w:rPr>
          <w:b/>
          <w:sz w:val="26"/>
          <w:szCs w:val="26"/>
        </w:rPr>
        <w:t>CƠ QUAN THỐNG KÊ TRUNG ƯƠNG, CƠ QUAN THỐNG KÊ CẤP TỈNH, CƠ QUAN THỐNG KÊ CẤP HUYỆN</w:t>
      </w:r>
    </w:p>
    <w:p w:rsidR="000E4641" w:rsidRDefault="000E4641" w:rsidP="000E4641">
      <w:pPr>
        <w:jc w:val="center"/>
      </w:pPr>
    </w:p>
    <w:tbl>
      <w:tblPr>
        <w:tblW w:w="9351" w:type="dxa"/>
        <w:jc w:val="center"/>
        <w:tblLook w:val="04A0" w:firstRow="1" w:lastRow="0" w:firstColumn="1" w:lastColumn="0" w:noHBand="0" w:noVBand="1"/>
      </w:tblPr>
      <w:tblGrid>
        <w:gridCol w:w="1559"/>
        <w:gridCol w:w="1089"/>
        <w:gridCol w:w="2918"/>
        <w:gridCol w:w="953"/>
        <w:gridCol w:w="953"/>
        <w:gridCol w:w="852"/>
        <w:gridCol w:w="1027"/>
      </w:tblGrid>
      <w:tr w:rsidR="00F84A87" w:rsidRPr="00951A15" w:rsidTr="003D579A">
        <w:trPr>
          <w:trHeight w:val="660"/>
          <w:tblHeader/>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b/>
                <w:bCs/>
                <w:color w:val="000000"/>
                <w:sz w:val="26"/>
                <w:szCs w:val="26"/>
                <w:lang w:eastAsia="en-GB"/>
              </w:rPr>
            </w:pPr>
            <w:r>
              <w:rPr>
                <w:rFonts w:eastAsia="Times New Roman"/>
                <w:b/>
                <w:bCs/>
                <w:color w:val="000000"/>
                <w:sz w:val="26"/>
                <w:szCs w:val="26"/>
                <w:lang w:eastAsia="en-GB"/>
              </w:rPr>
              <w:t>Tiêu chí</w:t>
            </w:r>
            <w:r w:rsidRPr="00951A15">
              <w:rPr>
                <w:rFonts w:eastAsia="Times New Roman"/>
                <w:b/>
                <w:bCs/>
                <w:color w:val="000000"/>
                <w:sz w:val="26"/>
                <w:szCs w:val="26"/>
                <w:lang w:val="vi-VN" w:eastAsia="en-GB"/>
              </w:rPr>
              <w:t> </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b/>
                <w:bCs/>
                <w:color w:val="000000"/>
                <w:sz w:val="22"/>
                <w:szCs w:val="22"/>
                <w:lang w:eastAsia="en-GB"/>
              </w:rPr>
            </w:pPr>
            <w:r w:rsidRPr="00951A15">
              <w:rPr>
                <w:rFonts w:eastAsia="Times New Roman"/>
                <w:b/>
                <w:bCs/>
                <w:color w:val="000000"/>
                <w:sz w:val="22"/>
                <w:szCs w:val="22"/>
                <w:lang w:val="vi-VN" w:eastAsia="en-GB"/>
              </w:rPr>
              <w:t>Mã số</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b/>
                <w:bCs/>
                <w:color w:val="000000"/>
                <w:sz w:val="26"/>
                <w:szCs w:val="26"/>
                <w:lang w:eastAsia="en-GB"/>
              </w:rPr>
            </w:pPr>
            <w:r w:rsidRPr="00951A15">
              <w:rPr>
                <w:rFonts w:eastAsia="Times New Roman"/>
                <w:b/>
                <w:bCs/>
                <w:color w:val="000000"/>
                <w:sz w:val="26"/>
                <w:szCs w:val="26"/>
                <w:lang w:val="vi-VN" w:eastAsia="en-GB"/>
              </w:rPr>
              <w:t>Nội dung tiêu chí</w:t>
            </w:r>
          </w:p>
        </w:tc>
        <w:tc>
          <w:tcPr>
            <w:tcW w:w="953" w:type="dxa"/>
            <w:tcBorders>
              <w:top w:val="single" w:sz="4" w:space="0" w:color="auto"/>
              <w:left w:val="nil"/>
              <w:bottom w:val="single" w:sz="4" w:space="0" w:color="auto"/>
              <w:right w:val="nil"/>
            </w:tcBorders>
            <w:vAlign w:val="center"/>
          </w:tcPr>
          <w:p w:rsidR="00F84A87" w:rsidRPr="00951A15" w:rsidRDefault="008D059D" w:rsidP="003A73CF">
            <w:pPr>
              <w:spacing w:after="0" w:line="240" w:lineRule="auto"/>
              <w:jc w:val="center"/>
              <w:rPr>
                <w:rFonts w:eastAsia="Times New Roman"/>
                <w:b/>
                <w:bCs/>
                <w:color w:val="000000"/>
                <w:sz w:val="26"/>
                <w:szCs w:val="26"/>
                <w:lang w:eastAsia="en-GB"/>
              </w:rPr>
            </w:pPr>
            <w:r>
              <w:rPr>
                <w:rFonts w:eastAsia="Times New Roman"/>
                <w:b/>
                <w:bCs/>
                <w:color w:val="000000"/>
                <w:sz w:val="26"/>
                <w:szCs w:val="26"/>
                <w:lang w:eastAsia="en-GB"/>
              </w:rPr>
              <w:t xml:space="preserve">Cơ quan thống kê </w:t>
            </w:r>
            <w:r w:rsidR="00E8607B">
              <w:rPr>
                <w:rFonts w:eastAsia="Times New Roman"/>
                <w:b/>
                <w:bCs/>
                <w:color w:val="000000"/>
                <w:sz w:val="26"/>
                <w:szCs w:val="26"/>
                <w:lang w:eastAsia="en-GB"/>
              </w:rPr>
              <w:t xml:space="preserve"> </w:t>
            </w:r>
            <w:r>
              <w:rPr>
                <w:rFonts w:eastAsia="Times New Roman"/>
                <w:b/>
                <w:bCs/>
                <w:color w:val="000000"/>
                <w:sz w:val="26"/>
                <w:szCs w:val="26"/>
                <w:lang w:eastAsia="en-GB"/>
              </w:rPr>
              <w:t>B</w:t>
            </w:r>
            <w:r w:rsidR="00F84A87" w:rsidRPr="00951A15">
              <w:rPr>
                <w:rFonts w:eastAsia="Times New Roman"/>
                <w:b/>
                <w:bCs/>
                <w:color w:val="000000"/>
                <w:sz w:val="26"/>
                <w:szCs w:val="26"/>
                <w:lang w:eastAsia="en-GB"/>
              </w:rPr>
              <w:t>ộ, ngành</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A87" w:rsidRPr="00951A15" w:rsidRDefault="008D059D" w:rsidP="00E8607B">
            <w:pPr>
              <w:spacing w:after="0" w:line="240" w:lineRule="auto"/>
              <w:jc w:val="center"/>
              <w:rPr>
                <w:rFonts w:eastAsia="Times New Roman"/>
                <w:b/>
                <w:bCs/>
                <w:color w:val="000000"/>
                <w:sz w:val="26"/>
                <w:szCs w:val="26"/>
                <w:lang w:eastAsia="en-GB"/>
              </w:rPr>
            </w:pPr>
            <w:r>
              <w:rPr>
                <w:rFonts w:eastAsia="Times New Roman"/>
                <w:b/>
                <w:bCs/>
                <w:color w:val="000000"/>
                <w:sz w:val="26"/>
                <w:szCs w:val="26"/>
                <w:lang w:eastAsia="en-GB"/>
              </w:rPr>
              <w:t>Cơ quan thống kê Trung ương</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F84A87" w:rsidRPr="00951A15" w:rsidRDefault="00F84A87" w:rsidP="008D059D">
            <w:pPr>
              <w:spacing w:after="0" w:line="240" w:lineRule="auto"/>
              <w:jc w:val="center"/>
              <w:rPr>
                <w:rFonts w:eastAsia="Times New Roman"/>
                <w:b/>
                <w:bCs/>
                <w:color w:val="000000"/>
                <w:sz w:val="26"/>
                <w:szCs w:val="26"/>
                <w:lang w:eastAsia="en-GB"/>
              </w:rPr>
            </w:pPr>
            <w:r w:rsidRPr="00951A15">
              <w:rPr>
                <w:rFonts w:eastAsia="Times New Roman"/>
                <w:b/>
                <w:bCs/>
                <w:color w:val="000000"/>
                <w:sz w:val="26"/>
                <w:szCs w:val="26"/>
                <w:lang w:eastAsia="en-GB"/>
              </w:rPr>
              <w:t>C</w:t>
            </w:r>
            <w:r w:rsidR="008D059D">
              <w:rPr>
                <w:rFonts w:eastAsia="Times New Roman"/>
                <w:b/>
                <w:bCs/>
                <w:color w:val="000000"/>
                <w:sz w:val="26"/>
                <w:szCs w:val="26"/>
                <w:lang w:eastAsia="en-GB"/>
              </w:rPr>
              <w:t>ơ quan thống kê cấp tỉnh</w:t>
            </w:r>
          </w:p>
        </w:tc>
        <w:tc>
          <w:tcPr>
            <w:tcW w:w="1027" w:type="dxa"/>
            <w:tcBorders>
              <w:top w:val="single" w:sz="4" w:space="0" w:color="auto"/>
              <w:left w:val="nil"/>
              <w:bottom w:val="single" w:sz="4" w:space="0" w:color="auto"/>
              <w:right w:val="single" w:sz="4" w:space="0" w:color="auto"/>
            </w:tcBorders>
            <w:shd w:val="clear" w:color="000000" w:fill="FFFFFF"/>
            <w:vAlign w:val="center"/>
            <w:hideMark/>
          </w:tcPr>
          <w:p w:rsidR="00F84A87" w:rsidRPr="00951A15" w:rsidRDefault="00F84A87" w:rsidP="008D059D">
            <w:pPr>
              <w:spacing w:after="0" w:line="240" w:lineRule="auto"/>
              <w:jc w:val="center"/>
              <w:rPr>
                <w:rFonts w:eastAsia="Times New Roman"/>
                <w:b/>
                <w:bCs/>
                <w:color w:val="000000"/>
                <w:sz w:val="26"/>
                <w:szCs w:val="26"/>
                <w:lang w:eastAsia="en-GB"/>
              </w:rPr>
            </w:pPr>
            <w:r w:rsidRPr="00951A15">
              <w:rPr>
                <w:rFonts w:eastAsia="Times New Roman"/>
                <w:b/>
                <w:bCs/>
                <w:color w:val="000000"/>
                <w:sz w:val="26"/>
                <w:szCs w:val="26"/>
                <w:lang w:eastAsia="en-GB"/>
              </w:rPr>
              <w:t>C</w:t>
            </w:r>
            <w:r w:rsidR="008D059D">
              <w:rPr>
                <w:rFonts w:eastAsia="Times New Roman"/>
                <w:b/>
                <w:bCs/>
                <w:color w:val="000000"/>
                <w:sz w:val="26"/>
                <w:szCs w:val="26"/>
                <w:lang w:eastAsia="en-GB"/>
              </w:rPr>
              <w:t>ơ quan thống kê cấp huyện</w:t>
            </w:r>
          </w:p>
        </w:tc>
      </w:tr>
      <w:tr w:rsidR="003D579A" w:rsidRPr="00951A15" w:rsidTr="003D579A">
        <w:trPr>
          <w:trHeight w:val="557"/>
          <w:jc w:val="center"/>
        </w:trPr>
        <w:tc>
          <w:tcPr>
            <w:tcW w:w="5569" w:type="dxa"/>
            <w:gridSpan w:val="3"/>
            <w:tcBorders>
              <w:top w:val="nil"/>
              <w:left w:val="single" w:sz="4" w:space="0" w:color="auto"/>
              <w:bottom w:val="single" w:sz="4" w:space="0" w:color="auto"/>
              <w:right w:val="single" w:sz="4" w:space="0" w:color="auto"/>
            </w:tcBorders>
            <w:shd w:val="clear" w:color="000000" w:fill="FFFFFF"/>
            <w:vAlign w:val="center"/>
          </w:tcPr>
          <w:p w:rsidR="003D579A" w:rsidRPr="00FD36A8" w:rsidRDefault="003D579A" w:rsidP="003D579A">
            <w:pPr>
              <w:pStyle w:val="ListParagraph"/>
              <w:tabs>
                <w:tab w:val="left" w:pos="313"/>
              </w:tabs>
              <w:spacing w:after="0" w:line="240" w:lineRule="auto"/>
              <w:ind w:left="29"/>
              <w:rPr>
                <w:rFonts w:eastAsia="Times New Roman"/>
                <w:b/>
                <w:bCs/>
                <w:color w:val="000000"/>
                <w:sz w:val="26"/>
                <w:szCs w:val="26"/>
                <w:lang w:eastAsia="en-GB"/>
              </w:rPr>
            </w:pPr>
            <w:r>
              <w:rPr>
                <w:rFonts w:eastAsia="Times New Roman"/>
                <w:b/>
                <w:bCs/>
                <w:color w:val="000000"/>
                <w:sz w:val="26"/>
                <w:szCs w:val="26"/>
                <w:lang w:eastAsia="en-GB"/>
              </w:rPr>
              <w:t>Tổng số</w:t>
            </w:r>
          </w:p>
        </w:tc>
        <w:tc>
          <w:tcPr>
            <w:tcW w:w="953" w:type="dxa"/>
            <w:tcBorders>
              <w:top w:val="nil"/>
              <w:left w:val="single" w:sz="4" w:space="0" w:color="auto"/>
              <w:bottom w:val="single" w:sz="4" w:space="0" w:color="auto"/>
              <w:right w:val="single" w:sz="4" w:space="0" w:color="auto"/>
            </w:tcBorders>
            <w:shd w:val="clear" w:color="000000" w:fill="FFFFFF"/>
            <w:vAlign w:val="center"/>
          </w:tcPr>
          <w:p w:rsidR="003D579A" w:rsidRPr="00FD36A8" w:rsidRDefault="003D579A" w:rsidP="003D579A">
            <w:pPr>
              <w:pStyle w:val="ListParagraph"/>
              <w:tabs>
                <w:tab w:val="left" w:pos="313"/>
              </w:tabs>
              <w:spacing w:after="0" w:line="240" w:lineRule="auto"/>
              <w:ind w:left="29"/>
              <w:jc w:val="center"/>
              <w:rPr>
                <w:rFonts w:eastAsia="Times New Roman"/>
                <w:b/>
                <w:bCs/>
                <w:color w:val="000000"/>
                <w:sz w:val="26"/>
                <w:szCs w:val="26"/>
                <w:lang w:eastAsia="en-GB"/>
              </w:rPr>
            </w:pPr>
            <w:r>
              <w:rPr>
                <w:rFonts w:eastAsia="Times New Roman"/>
                <w:b/>
                <w:bCs/>
                <w:color w:val="000000"/>
                <w:sz w:val="26"/>
                <w:szCs w:val="26"/>
                <w:lang w:eastAsia="en-GB"/>
              </w:rPr>
              <w:t>85</w:t>
            </w:r>
          </w:p>
        </w:tc>
        <w:tc>
          <w:tcPr>
            <w:tcW w:w="953" w:type="dxa"/>
            <w:tcBorders>
              <w:top w:val="nil"/>
              <w:left w:val="single" w:sz="4" w:space="0" w:color="auto"/>
              <w:bottom w:val="single" w:sz="4" w:space="0" w:color="auto"/>
              <w:right w:val="single" w:sz="4" w:space="0" w:color="auto"/>
            </w:tcBorders>
            <w:shd w:val="clear" w:color="000000" w:fill="FFFFFF"/>
            <w:vAlign w:val="center"/>
          </w:tcPr>
          <w:p w:rsidR="003D579A" w:rsidRPr="00FD36A8" w:rsidRDefault="003D579A" w:rsidP="003D579A">
            <w:pPr>
              <w:pStyle w:val="ListParagraph"/>
              <w:tabs>
                <w:tab w:val="left" w:pos="313"/>
              </w:tabs>
              <w:spacing w:after="0" w:line="240" w:lineRule="auto"/>
              <w:ind w:left="29"/>
              <w:jc w:val="center"/>
              <w:rPr>
                <w:rFonts w:eastAsia="Times New Roman"/>
                <w:b/>
                <w:bCs/>
                <w:color w:val="000000"/>
                <w:sz w:val="26"/>
                <w:szCs w:val="26"/>
                <w:lang w:eastAsia="en-GB"/>
              </w:rPr>
            </w:pPr>
            <w:r>
              <w:rPr>
                <w:rFonts w:eastAsia="Times New Roman"/>
                <w:b/>
                <w:bCs/>
                <w:color w:val="000000"/>
                <w:sz w:val="26"/>
                <w:szCs w:val="26"/>
                <w:lang w:eastAsia="en-GB"/>
              </w:rPr>
              <w:t>92</w:t>
            </w:r>
          </w:p>
        </w:tc>
        <w:tc>
          <w:tcPr>
            <w:tcW w:w="849" w:type="dxa"/>
            <w:tcBorders>
              <w:top w:val="nil"/>
              <w:left w:val="single" w:sz="4" w:space="0" w:color="auto"/>
              <w:bottom w:val="single" w:sz="4" w:space="0" w:color="auto"/>
              <w:right w:val="single" w:sz="4" w:space="0" w:color="auto"/>
            </w:tcBorders>
            <w:shd w:val="clear" w:color="000000" w:fill="FFFFFF"/>
            <w:vAlign w:val="center"/>
          </w:tcPr>
          <w:p w:rsidR="003D579A" w:rsidRPr="00FD36A8" w:rsidRDefault="003D579A" w:rsidP="003D579A">
            <w:pPr>
              <w:pStyle w:val="ListParagraph"/>
              <w:tabs>
                <w:tab w:val="left" w:pos="313"/>
              </w:tabs>
              <w:spacing w:after="0" w:line="240" w:lineRule="auto"/>
              <w:ind w:left="29"/>
              <w:jc w:val="center"/>
              <w:rPr>
                <w:rFonts w:eastAsia="Times New Roman"/>
                <w:b/>
                <w:bCs/>
                <w:color w:val="000000"/>
                <w:sz w:val="26"/>
                <w:szCs w:val="26"/>
                <w:lang w:eastAsia="en-GB"/>
              </w:rPr>
            </w:pPr>
            <w:r>
              <w:rPr>
                <w:rFonts w:eastAsia="Times New Roman"/>
                <w:b/>
                <w:bCs/>
                <w:color w:val="000000"/>
                <w:sz w:val="26"/>
                <w:szCs w:val="26"/>
                <w:lang w:eastAsia="en-GB"/>
              </w:rPr>
              <w:t>63</w:t>
            </w:r>
          </w:p>
        </w:tc>
        <w:tc>
          <w:tcPr>
            <w:tcW w:w="1027" w:type="dxa"/>
            <w:tcBorders>
              <w:top w:val="nil"/>
              <w:left w:val="single" w:sz="4" w:space="0" w:color="auto"/>
              <w:bottom w:val="single" w:sz="4" w:space="0" w:color="auto"/>
              <w:right w:val="single" w:sz="4" w:space="0" w:color="auto"/>
            </w:tcBorders>
            <w:shd w:val="clear" w:color="000000" w:fill="FFFFFF"/>
            <w:vAlign w:val="center"/>
          </w:tcPr>
          <w:p w:rsidR="003D579A" w:rsidRPr="00FD36A8" w:rsidRDefault="003D579A" w:rsidP="003D579A">
            <w:pPr>
              <w:pStyle w:val="ListParagraph"/>
              <w:tabs>
                <w:tab w:val="left" w:pos="313"/>
              </w:tabs>
              <w:spacing w:after="0" w:line="240" w:lineRule="auto"/>
              <w:ind w:left="29"/>
              <w:jc w:val="center"/>
              <w:rPr>
                <w:rFonts w:eastAsia="Times New Roman"/>
                <w:b/>
                <w:bCs/>
                <w:color w:val="000000"/>
                <w:sz w:val="26"/>
                <w:szCs w:val="26"/>
                <w:lang w:eastAsia="en-GB"/>
              </w:rPr>
            </w:pPr>
            <w:r>
              <w:rPr>
                <w:rFonts w:eastAsia="Times New Roman"/>
                <w:b/>
                <w:bCs/>
                <w:color w:val="000000"/>
                <w:sz w:val="26"/>
                <w:szCs w:val="26"/>
                <w:lang w:eastAsia="en-GB"/>
              </w:rPr>
              <w:t>46</w:t>
            </w:r>
          </w:p>
        </w:tc>
      </w:tr>
      <w:tr w:rsidR="00F84A87" w:rsidRPr="00951A15" w:rsidTr="003D579A">
        <w:trPr>
          <w:trHeight w:val="557"/>
          <w:jc w:val="center"/>
        </w:trPr>
        <w:tc>
          <w:tcPr>
            <w:tcW w:w="9351" w:type="dxa"/>
            <w:gridSpan w:val="7"/>
            <w:tcBorders>
              <w:top w:val="nil"/>
              <w:left w:val="single" w:sz="4" w:space="0" w:color="auto"/>
              <w:bottom w:val="single" w:sz="4" w:space="0" w:color="auto"/>
              <w:right w:val="single" w:sz="4" w:space="0" w:color="auto"/>
            </w:tcBorders>
            <w:shd w:val="clear" w:color="000000" w:fill="FFFFFF"/>
          </w:tcPr>
          <w:p w:rsidR="00F84A87" w:rsidRPr="00FD36A8" w:rsidRDefault="00F84A87" w:rsidP="00F84A87">
            <w:pPr>
              <w:pStyle w:val="ListParagraph"/>
              <w:numPr>
                <w:ilvl w:val="0"/>
                <w:numId w:val="1"/>
              </w:numPr>
              <w:tabs>
                <w:tab w:val="left" w:pos="313"/>
              </w:tabs>
              <w:spacing w:after="0" w:line="240" w:lineRule="auto"/>
              <w:ind w:left="29" w:firstLine="0"/>
              <w:rPr>
                <w:rFonts w:eastAsia="Times New Roman"/>
                <w:color w:val="000000"/>
                <w:sz w:val="26"/>
                <w:szCs w:val="26"/>
                <w:lang w:eastAsia="en-GB"/>
              </w:rPr>
            </w:pPr>
            <w:r w:rsidRPr="00FD36A8">
              <w:rPr>
                <w:rFonts w:eastAsia="Times New Roman"/>
                <w:b/>
                <w:bCs/>
                <w:color w:val="000000"/>
                <w:sz w:val="26"/>
                <w:szCs w:val="26"/>
                <w:lang w:eastAsia="en-GB"/>
              </w:rPr>
              <w:t>QUẢN LÝ HOẠT ĐỘNG ĐIỀU PHỐI, PHỐI HỢP VÀ CÁC TIÊU CHUẨN THỐNG KÊ</w:t>
            </w:r>
          </w:p>
        </w:tc>
      </w:tr>
      <w:tr w:rsidR="00F84A87" w:rsidRPr="00951A15" w:rsidTr="003D579A">
        <w:trPr>
          <w:trHeight w:val="99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1</w:t>
            </w:r>
            <w:r w:rsidRPr="001C148C">
              <w:rPr>
                <w:rFonts w:ascii="Times New Roman Bold" w:eastAsia="Times New Roman" w:hAnsi="Times New Roman Bold"/>
                <w:b/>
                <w:bCs/>
                <w:color w:val="000000"/>
                <w:spacing w:val="-8"/>
                <w:sz w:val="26"/>
                <w:szCs w:val="26"/>
                <w:lang w:val="vi-VN" w:eastAsia="en-GB"/>
              </w:rPr>
              <w:t>. Quản lý hoạt động điều phối, phối hợp thực hiện các hoạt động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CLTK1.1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định về điều phối, phối hợp thực hiện các hoạt động thống kê</w:t>
            </w:r>
          </w:p>
        </w:tc>
        <w:tc>
          <w:tcPr>
            <w:tcW w:w="953" w:type="dxa"/>
            <w:tcBorders>
              <w:top w:val="single" w:sz="4" w:space="0" w:color="auto"/>
              <w:left w:val="nil"/>
              <w:bottom w:val="single" w:sz="4" w:space="0" w:color="auto"/>
              <w:right w:val="nil"/>
            </w:tcBorders>
            <w:vAlign w:val="center"/>
          </w:tcPr>
          <w:p w:rsidR="00F84A87" w:rsidRDefault="00F84A87" w:rsidP="00F84A87">
            <w:pPr>
              <w:spacing w:after="0" w:line="240" w:lineRule="auto"/>
              <w:jc w:val="center"/>
            </w:pPr>
            <w:r w:rsidRPr="00A71EE0">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Default="00F84A87" w:rsidP="00F84A87">
            <w:pPr>
              <w:spacing w:after="0" w:line="240" w:lineRule="auto"/>
              <w:jc w:val="center"/>
            </w:pPr>
            <w:r w:rsidRPr="00A71EE0">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Default="00F84A87" w:rsidP="00F84A87">
            <w:pPr>
              <w:spacing w:after="0" w:line="240" w:lineRule="auto"/>
              <w:jc w:val="center"/>
            </w:pPr>
            <w:r w:rsidRPr="00A71EE0">
              <w:rPr>
                <w:rFonts w:eastAsia="Times New Roman"/>
                <w:color w:val="000000"/>
                <w:sz w:val="26"/>
                <w:szCs w:val="26"/>
                <w:lang w:eastAsia="en-GB"/>
              </w:rPr>
              <w:t>×</w:t>
            </w:r>
          </w:p>
        </w:tc>
      </w:tr>
      <w:tr w:rsidR="00F84A87" w:rsidRPr="00951A15" w:rsidTr="003D579A">
        <w:trPr>
          <w:trHeight w:val="1346"/>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CLTK1.2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hoạt động điều phối, phối hợp thực hiện các hoạt động thống kê</w:t>
            </w:r>
          </w:p>
        </w:tc>
        <w:tc>
          <w:tcPr>
            <w:tcW w:w="953" w:type="dxa"/>
            <w:tcBorders>
              <w:top w:val="single" w:sz="4" w:space="0" w:color="auto"/>
              <w:left w:val="nil"/>
              <w:bottom w:val="single" w:sz="4" w:space="0" w:color="auto"/>
              <w:right w:val="nil"/>
            </w:tcBorders>
            <w:vAlign w:val="center"/>
          </w:tcPr>
          <w:p w:rsidR="00F84A87" w:rsidRDefault="00F84A87" w:rsidP="00F84A87">
            <w:pPr>
              <w:spacing w:after="0" w:line="240" w:lineRule="auto"/>
              <w:jc w:val="center"/>
            </w:pPr>
            <w:r w:rsidRPr="00A71EE0">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Default="00F84A87" w:rsidP="00F84A87">
            <w:pPr>
              <w:spacing w:after="0" w:line="240" w:lineRule="auto"/>
              <w:jc w:val="center"/>
            </w:pPr>
            <w:r w:rsidRPr="00A71EE0">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Default="00F84A87" w:rsidP="00F84A87">
            <w:pPr>
              <w:spacing w:after="0" w:line="240" w:lineRule="auto"/>
              <w:jc w:val="center"/>
            </w:pPr>
            <w:r w:rsidRPr="00A71EE0">
              <w:rPr>
                <w:rFonts w:eastAsia="Times New Roman"/>
                <w:color w:val="000000"/>
                <w:sz w:val="26"/>
                <w:szCs w:val="26"/>
                <w:lang w:eastAsia="en-GB"/>
              </w:rPr>
              <w:t>×</w:t>
            </w:r>
          </w:p>
        </w:tc>
      </w:tr>
      <w:tr w:rsidR="00F84A87" w:rsidRPr="00951A15" w:rsidTr="003D579A">
        <w:trPr>
          <w:trHeight w:val="132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2. Quản lý mối quan hệ với các bên liên quan</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CLTK2.1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danh sách cơ quan, tổ chức, cá nhân cung cấp thông tin và sử dụng thông tin thống kê</w:t>
            </w:r>
          </w:p>
        </w:tc>
        <w:tc>
          <w:tcPr>
            <w:tcW w:w="953" w:type="dxa"/>
            <w:tcBorders>
              <w:top w:val="single" w:sz="4" w:space="0" w:color="auto"/>
              <w:left w:val="nil"/>
              <w:bottom w:val="single" w:sz="4" w:space="0" w:color="auto"/>
              <w:right w:val="nil"/>
            </w:tcBorders>
            <w:vAlign w:val="center"/>
          </w:tcPr>
          <w:p w:rsidR="00F84A87" w:rsidRDefault="00F84A87" w:rsidP="00F84A87">
            <w:pPr>
              <w:spacing w:after="0" w:line="240" w:lineRule="auto"/>
              <w:jc w:val="center"/>
            </w:pPr>
            <w:r w:rsidRPr="00A71EE0">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Default="00F84A87" w:rsidP="00F84A87">
            <w:pPr>
              <w:spacing w:after="0" w:line="240" w:lineRule="auto"/>
              <w:jc w:val="center"/>
            </w:pPr>
            <w:r w:rsidRPr="00A71EE0">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Default="00F84A87" w:rsidP="00F84A87">
            <w:pPr>
              <w:spacing w:after="0" w:line="240" w:lineRule="auto"/>
              <w:jc w:val="center"/>
            </w:pPr>
            <w:r w:rsidRPr="00A71EE0">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CLTK2.2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tài liệu hướng dẫn về việc tổ chức tham khảo ý kiến cơ quan, tổ chức, cá nhân cung cấp thông tin và sử dụng thông tin thống kê</w:t>
            </w:r>
          </w:p>
        </w:tc>
        <w:tc>
          <w:tcPr>
            <w:tcW w:w="953" w:type="dxa"/>
            <w:tcBorders>
              <w:top w:val="single" w:sz="4" w:space="0" w:color="auto"/>
              <w:left w:val="nil"/>
              <w:bottom w:val="single" w:sz="4" w:space="0" w:color="auto"/>
              <w:right w:val="nil"/>
            </w:tcBorders>
            <w:vAlign w:val="center"/>
          </w:tcPr>
          <w:p w:rsidR="00F84A87" w:rsidRDefault="00F84A87" w:rsidP="00F84A87">
            <w:pPr>
              <w:spacing w:after="0" w:line="240" w:lineRule="auto"/>
              <w:jc w:val="center"/>
            </w:pPr>
            <w:r w:rsidRPr="00A71EE0">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Default="00F84A87" w:rsidP="00F84A87">
            <w:pPr>
              <w:spacing w:after="0" w:line="240" w:lineRule="auto"/>
              <w:jc w:val="center"/>
            </w:pPr>
            <w:r w:rsidRPr="00A71EE0">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Default="00F84A87" w:rsidP="00F84A87">
            <w:pPr>
              <w:spacing w:after="0" w:line="240" w:lineRule="auto"/>
              <w:jc w:val="center"/>
            </w:pPr>
            <w:r w:rsidRPr="00A71EE0">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CLTK2.3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văn bản thỏa thuận với các cơ quan quản lý cơ sở dữ liệu hành chính về sử dụng dữ liệu hành chính cho hoạt động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CLTK2.4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văn bản thỏa thuận với các cơ quan báo chí về hợp tác phổ biến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65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lastRenderedPageBreak/>
              <w:t>3. Quản lý các tiêu chuẩn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CLTK3.1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đơn vị thực hiện chức năng, nhiệm vụ xây dựng, hoàn thiện và hướng dẫn việc áp dụng các tiêu chuẩn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231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CLTK3.2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1C148C" w:rsidRDefault="00F84A87" w:rsidP="00F84A87">
            <w:pPr>
              <w:spacing w:after="0" w:line="240" w:lineRule="auto"/>
              <w:jc w:val="both"/>
              <w:rPr>
                <w:rFonts w:eastAsia="Times New Roman"/>
                <w:color w:val="000000"/>
                <w:spacing w:val="-6"/>
                <w:sz w:val="26"/>
                <w:szCs w:val="26"/>
                <w:lang w:eastAsia="en-GB"/>
              </w:rPr>
            </w:pPr>
            <w:r w:rsidRPr="001C148C">
              <w:rPr>
                <w:rFonts w:eastAsia="Times New Roman"/>
                <w:color w:val="000000"/>
                <w:spacing w:val="-6"/>
                <w:sz w:val="26"/>
                <w:szCs w:val="26"/>
                <w:lang w:val="vi-VN" w:eastAsia="en-GB"/>
              </w:rPr>
              <w:t>Thực hiện việc tổ chức tham khảo ý kiến cơ quan, tổ chức, cá nhân cung cấp thông tin và sử dụng thông tin thống kê trong quá trình xây dựng, hoàn thiện các tiêu chuẩn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CLTK3.3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các tiêu chuẩn thống kê phù hợp với các tiêu chuẩn, thực hành thống kê tốt của quốc tế và khu vực</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CLTK3.4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Phổ biến các tiêu chuẩn thống kê và những thay đổi về tiêu chuẩn thống kê (nếu có)</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CLTK3.5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Các tiêu chuẩn thống kê trước đây (phiên bản cũ) có sẵn để cung cấp (nếu có yêu cầu)</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CLTK3.6</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1C148C" w:rsidRDefault="00F84A87" w:rsidP="00F84A87">
            <w:pPr>
              <w:spacing w:after="0" w:line="240" w:lineRule="auto"/>
              <w:jc w:val="both"/>
              <w:rPr>
                <w:rFonts w:eastAsia="Times New Roman"/>
                <w:color w:val="000000"/>
                <w:spacing w:val="-6"/>
                <w:sz w:val="26"/>
                <w:szCs w:val="26"/>
                <w:lang w:eastAsia="en-GB"/>
              </w:rPr>
            </w:pPr>
            <w:r w:rsidRPr="001C148C">
              <w:rPr>
                <w:rFonts w:eastAsia="Times New Roman"/>
                <w:color w:val="000000"/>
                <w:spacing w:val="-6"/>
                <w:sz w:val="26"/>
                <w:szCs w:val="26"/>
                <w:lang w:val="vi-VN" w:eastAsia="en-GB"/>
              </w:rPr>
              <w:t>Lưu trữ thông tin thống kê ban đầu theo phân loại thống kê ở mức chi tiết nhất</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CLTK3.7</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Công bố, phổ biến các sản phẩm thống kê có kèm theo hoặc có chỉ dẫn đến tài liệu về tiêu chuẩn thống kê liên quan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330"/>
          <w:jc w:val="center"/>
        </w:trPr>
        <w:tc>
          <w:tcPr>
            <w:tcW w:w="9351" w:type="dxa"/>
            <w:gridSpan w:val="7"/>
            <w:tcBorders>
              <w:top w:val="single" w:sz="4" w:space="0" w:color="auto"/>
              <w:left w:val="single" w:sz="4" w:space="0" w:color="auto"/>
              <w:bottom w:val="single" w:sz="4" w:space="0" w:color="auto"/>
              <w:right w:val="single" w:sz="4" w:space="0" w:color="auto"/>
            </w:tcBorders>
          </w:tcPr>
          <w:p w:rsidR="00F84A87" w:rsidRPr="00007A3A" w:rsidRDefault="00F84A87" w:rsidP="00F84A87">
            <w:pPr>
              <w:spacing w:after="0" w:line="240" w:lineRule="auto"/>
              <w:rPr>
                <w:rFonts w:eastAsia="Times New Roman"/>
                <w:b/>
                <w:bCs/>
                <w:color w:val="000000"/>
                <w:sz w:val="26"/>
                <w:szCs w:val="26"/>
                <w:lang w:eastAsia="en-GB"/>
              </w:rPr>
            </w:pPr>
            <w:r w:rsidRPr="00951A15">
              <w:rPr>
                <w:rFonts w:eastAsia="Times New Roman"/>
                <w:b/>
                <w:bCs/>
                <w:color w:val="000000"/>
                <w:sz w:val="26"/>
                <w:szCs w:val="26"/>
                <w:lang w:val="vi-VN" w:eastAsia="en-GB"/>
              </w:rPr>
              <w:t>B. QUẢN LÝ MÔI TRƯỜNG THỂ CHẾ CHO CÁC HOẠT ĐỘNG THỐNG KÊ</w:t>
            </w:r>
          </w:p>
        </w:tc>
      </w:tr>
      <w:tr w:rsidR="00F84A87" w:rsidRPr="00951A15" w:rsidTr="003D579A">
        <w:trPr>
          <w:trHeight w:val="99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 xml:space="preserve">4. Bảo đảm tính độc lập về chuyên </w:t>
            </w:r>
            <w:r w:rsidRPr="00951A15">
              <w:rPr>
                <w:rFonts w:eastAsia="Times New Roman"/>
                <w:b/>
                <w:bCs/>
                <w:color w:val="000000"/>
                <w:sz w:val="26"/>
                <w:szCs w:val="26"/>
                <w:lang w:val="vi-VN" w:eastAsia="en-GB"/>
              </w:rPr>
              <w:lastRenderedPageBreak/>
              <w:t>môn, nghiệp vụ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lastRenderedPageBreak/>
              <w:t>CLTK4.1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Tổ chức thống kê được thành lập theo quyết định của cấp có thẩm quyền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CLTK4.2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Người đứng đầu tổ chức thống kê đạt tiêu chuẩn về trình độ đào tạo, bồi dưỡng theo quy định của cấp có thẩm quyền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CLTK4.3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Công khai kế hoạch và báo cáo thực hiện các hoạt động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CLTK4.4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trình tiếp nhận, trả lời và tư liệu hóa các ý kiến về chuyên môn nghiệp vụ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5. Bảo đảm tính khách quan và tính công bằng</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CLTK5.1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định về chuẩn mực đạo đức nghề nghiệp của người làm công tác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CLTK5.2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trình thực hiện việc lựa chọn nguồn dữ liệu, phương pháp biên soạn thông tin thống kê một cách khách quan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CLTK5.3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Ban hành và thực hiện lịch phổ biến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CLTK5.4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chế phổ biến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CLTK5.5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định về việc sửa lỗi của thông tin thống kê đã công bố</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6. Bảo đảm tính minh bạch</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CLTK6.1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Công khai danh sách các cá nhân được phép tiếp cận thông tin thống kê trước khi công bố</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CLTK6.2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định về việc thông báo cho cơ quan, tổ chức, cá nhân cung cấp thông tin biết về quyền và nghĩa vụ của họ</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264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CLTK6.3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định về việc thông báo cho cơ quan, tổ chức, cá nhân sử dụng thông tin thống kê biết quy trình bảo mật đã được thực hiện làm ảnh hưởng đến mức độ đầy đủ của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CLTK6.4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định về việc thông báo trước những điều chỉnh hoặc thay đổi về phương pháp luận, dữ liệu nguồn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7. Bảo đảm tính bảo mật và an ninh thông tin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CLTK7.1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tài liệu hướng dẫn thực hiện việc bảo mật và an ninh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CLTK7.2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trình bảo mật thông tin gắn với tên, địa chỉ cụ thể của từng cơ quan, tổ chức, cá nhân cung cấp thông tin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CLTK7.3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Cam kết thực hiện nghĩa vụ bảo mật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CLTK7.4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các biện pháp bảo đảm an ninh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66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8. Bảo đảm cam kết chất lượng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CLTK8.1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Tuyên bố cam kết bảo đảm chất lượng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CLTK8.2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đơn vị thực hiện chức năng, nhiệm vụ quản lý chất lượng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CLTK8.3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sổ tay hướng dẫn quản lý chất lượng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CLTK8.4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Công chức, viên chức thống kê được đào tạo, bồi dưỡng về chất lượng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CLTK8.5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kế hoạch bảo đảm chất lượng cho từng chương trình thống kê trước khi thực hiện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98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CLTK8.6</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trình tiếp nhận, trả lời và tư liệu hóa các ý kiến về chất lượng thống kê của cơ quan, tổ chức, cá nhân sử dụng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CLTK8.7</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và báo cáo chất lượng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CLTK8.8</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kế hoạch hành động khắc phục những hạn chế về chất lượng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66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9. Bảo đảm đầy đủ các nguồn lực cho hoạt động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CLTK9.1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Bảo đảm nhân lực cho hoạt động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CLTK9.2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Bảo đảm kinh phí cho hoạt động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2"/>
                <w:szCs w:val="22"/>
                <w:lang w:eastAsia="en-GB"/>
              </w:rPr>
            </w:pPr>
            <w:r w:rsidRPr="00951A15">
              <w:rPr>
                <w:rFonts w:eastAsia="Times New Roman"/>
                <w:color w:val="000000"/>
                <w:sz w:val="22"/>
                <w:szCs w:val="22"/>
                <w:lang w:val="vi-VN" w:eastAsia="en-GB"/>
              </w:rPr>
              <w:t>CLTK9.3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Bảo đảm hạ tầng công nghệ thông tin và các nguồn lực khác cho hoạt động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E423F" w:rsidRPr="00951A15" w:rsidTr="003D579A">
        <w:trPr>
          <w:trHeight w:val="330"/>
          <w:jc w:val="center"/>
        </w:trPr>
        <w:tc>
          <w:tcPr>
            <w:tcW w:w="9351" w:type="dxa"/>
            <w:gridSpan w:val="7"/>
            <w:tcBorders>
              <w:top w:val="nil"/>
              <w:left w:val="single" w:sz="4" w:space="0" w:color="auto"/>
              <w:bottom w:val="single" w:sz="4" w:space="0" w:color="auto"/>
              <w:right w:val="single" w:sz="4" w:space="0" w:color="auto"/>
            </w:tcBorders>
          </w:tcPr>
          <w:p w:rsidR="00FE423F" w:rsidRPr="00951A15" w:rsidRDefault="00FE423F" w:rsidP="00F84A87">
            <w:pPr>
              <w:spacing w:after="0" w:line="240" w:lineRule="auto"/>
              <w:rPr>
                <w:rFonts w:eastAsia="Times New Roman"/>
                <w:b/>
                <w:bCs/>
                <w:color w:val="000000"/>
                <w:sz w:val="26"/>
                <w:szCs w:val="26"/>
                <w:lang w:eastAsia="en-GB"/>
              </w:rPr>
            </w:pPr>
            <w:r w:rsidRPr="00951A15">
              <w:rPr>
                <w:rFonts w:eastAsia="Times New Roman"/>
                <w:b/>
                <w:bCs/>
                <w:color w:val="000000"/>
                <w:sz w:val="26"/>
                <w:szCs w:val="26"/>
                <w:lang w:eastAsia="en-GB"/>
              </w:rPr>
              <w:t>C. QUẢN LÝ CÁC QUY TRÌNH THỐNG KÊ</w:t>
            </w:r>
          </w:p>
        </w:tc>
      </w:tr>
      <w:tr w:rsidR="00F84A87" w:rsidRPr="00951A15" w:rsidTr="003D579A">
        <w:trPr>
          <w:trHeight w:val="165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10. Bảo đảm tính đúng đắn của phương pháp luận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CLTK10.1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Các phương pháp luận thống kê đang sử dụng đều phù hợp với các tiêu chuẩn, thực hành thống kê tốt của quốc tế và khu vực</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CLTK10.2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Quy định việc áp dụng thống nhất các phương pháp luận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CLTK10.3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Hợp tác với các chuyên gia, nhà khoa học nhằm cải tiến và nâng cao hiệu quả áp dụng các phương pháp luận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CLTK10.4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sự phù hợp của các hình thức thu thập dữ liệu,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CLTK10.5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Quy định việc sử dụng các phương pháp phù hợp để hiệu chỉnh dữ liệu, gắn dữ liệu còn thiếu</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CLTK10.6</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eastAsia="en-GB"/>
              </w:rPr>
              <w:t>Công chức, viên chức được đạo tạo, bồi dưỡng thường xuyên về phương pháp luận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11. Bảo đảm sự phù hợp giữa hiệu quả và chi phí</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CLTK11.1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các biện pháp giám sát việc sử dụng các nguồn lực cho hoạt động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CLTK11.2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các biện pháp chuẩn hóa các tiêu chuẩn thống kê và quy trình sản xuất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CLTK11.3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Rà soát các dữ liệu nguồn sẵn có để sử dụng trước khi dự kiến thu thập dữ liệu mới</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98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CLTK11.4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Tham gia một cách chủ động với cơ quan quản lý cơ sở dữ liệu hành chính để cải thiện tiềm năng dữ liệu hành chính cho hoạt động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CLTK11.5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Ứng dụng tối đa công nghệ thông tin và truyền thông trong hoạt động thu thập, xử lý và phân tích dữ liệu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FE423F" w:rsidRDefault="00F84A87" w:rsidP="00F84A87">
            <w:pPr>
              <w:spacing w:after="0" w:line="240" w:lineRule="auto"/>
              <w:jc w:val="both"/>
              <w:rPr>
                <w:rFonts w:ascii="Times New Roman Bold" w:eastAsia="Times New Roman" w:hAnsi="Times New Roman Bold"/>
                <w:b/>
                <w:bCs/>
                <w:color w:val="000000"/>
                <w:spacing w:val="-6"/>
                <w:sz w:val="26"/>
                <w:szCs w:val="26"/>
                <w:lang w:eastAsia="en-GB"/>
              </w:rPr>
            </w:pPr>
            <w:r w:rsidRPr="00FE423F">
              <w:rPr>
                <w:rFonts w:ascii="Times New Roman Bold" w:eastAsia="Times New Roman" w:hAnsi="Times New Roman Bold"/>
                <w:b/>
                <w:bCs/>
                <w:color w:val="000000"/>
                <w:spacing w:val="-6"/>
                <w:sz w:val="26"/>
                <w:szCs w:val="26"/>
                <w:lang w:val="vi-VN" w:eastAsia="en-GB"/>
              </w:rPr>
              <w:lastRenderedPageBreak/>
              <w:t>12. Bảo đảm tính đúng đắn của việc thực hiện các chương trình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CLTK12.1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các biện pháp kiểm soát chất lượng trong từng bước của quy trình sản xuất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CLTK12.2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dữ liệu về hoạt động và chi phí thực hiện các chương trình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CLTK12.3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tính hiệu quả của chương trình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13. Quản lý gánh nặng trả lời của cơ quan, tổ chức, cá nhân cung cấp thông tin</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CLTK13.1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tài liệu hướng dẫn về quản lý gánh nặng trả lời của cơ quan, tổ chức, cá nhân cung cấp thông tin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231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CLTK13.2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Áp dụng các hình thức, phương pháp thu thập thông tin khác nhau; và các tiêu chuẩn thống kê để giảm gánh nặng trả lời cho cơ quan, tổ chức, cá nhân cung cấp thông tin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CLTK13.3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1C148C" w:rsidRDefault="00F84A87" w:rsidP="00F84A87">
            <w:pPr>
              <w:spacing w:after="0" w:line="240" w:lineRule="auto"/>
              <w:jc w:val="both"/>
              <w:rPr>
                <w:rFonts w:eastAsia="Times New Roman"/>
                <w:color w:val="000000"/>
                <w:spacing w:val="-4"/>
                <w:sz w:val="26"/>
                <w:szCs w:val="26"/>
                <w:lang w:eastAsia="en-GB"/>
              </w:rPr>
            </w:pPr>
            <w:r w:rsidRPr="001C148C">
              <w:rPr>
                <w:rFonts w:eastAsia="Times New Roman"/>
                <w:color w:val="000000"/>
                <w:spacing w:val="-4"/>
                <w:sz w:val="26"/>
                <w:szCs w:val="26"/>
                <w:lang w:val="vi-VN" w:eastAsia="en-GB"/>
              </w:rPr>
              <w:t>Có quy trình tiếp nhận, trả lời và tư liệu hóa các ý kiến của cơ quan, tổ chức, cá nhân cung cấp thông tin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CLTK13.4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phiếu điều tra, mẫu biểu báo thống kê để xác định các hạn chế của chúng</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E423F" w:rsidRPr="00951A15" w:rsidTr="003D579A">
        <w:trPr>
          <w:trHeight w:val="330"/>
          <w:jc w:val="center"/>
        </w:trPr>
        <w:tc>
          <w:tcPr>
            <w:tcW w:w="9351" w:type="dxa"/>
            <w:gridSpan w:val="7"/>
            <w:tcBorders>
              <w:top w:val="single" w:sz="4" w:space="0" w:color="auto"/>
              <w:left w:val="single" w:sz="4" w:space="0" w:color="auto"/>
              <w:bottom w:val="single" w:sz="4" w:space="0" w:color="auto"/>
              <w:right w:val="single" w:sz="4" w:space="0" w:color="auto"/>
            </w:tcBorders>
          </w:tcPr>
          <w:p w:rsidR="00FE423F" w:rsidRPr="00951A15" w:rsidRDefault="00FE423F" w:rsidP="00F84A87">
            <w:pPr>
              <w:spacing w:after="0" w:line="240" w:lineRule="auto"/>
              <w:rPr>
                <w:rFonts w:eastAsia="Times New Roman"/>
                <w:b/>
                <w:bCs/>
                <w:color w:val="000000"/>
                <w:sz w:val="26"/>
                <w:szCs w:val="26"/>
                <w:lang w:eastAsia="en-GB"/>
              </w:rPr>
            </w:pPr>
            <w:r w:rsidRPr="00951A15">
              <w:rPr>
                <w:rFonts w:eastAsia="Times New Roman"/>
                <w:b/>
                <w:bCs/>
                <w:color w:val="000000"/>
                <w:sz w:val="26"/>
                <w:szCs w:val="26"/>
                <w:lang w:val="vi-VN" w:eastAsia="en-GB"/>
              </w:rPr>
              <w:t>D. QUẢN LÝ CÁC KẾT QUẢ ĐẦU RA THỐNG KÊ</w:t>
            </w:r>
          </w:p>
        </w:tc>
      </w:tr>
      <w:tr w:rsidR="00F84A87" w:rsidRPr="00951A15" w:rsidTr="003D579A">
        <w:trPr>
          <w:trHeight w:val="66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14. Bảo đảm tính phù hợp</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CLTK14.1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1C148C" w:rsidRDefault="00F84A87" w:rsidP="00F84A87">
            <w:pPr>
              <w:spacing w:after="0" w:line="240" w:lineRule="auto"/>
              <w:jc w:val="both"/>
              <w:rPr>
                <w:rFonts w:eastAsia="Times New Roman"/>
                <w:color w:val="000000"/>
                <w:spacing w:val="-4"/>
                <w:sz w:val="26"/>
                <w:szCs w:val="26"/>
                <w:lang w:eastAsia="en-GB"/>
              </w:rPr>
            </w:pPr>
            <w:r w:rsidRPr="001C148C">
              <w:rPr>
                <w:rFonts w:eastAsia="Times New Roman"/>
                <w:color w:val="000000"/>
                <w:spacing w:val="-4"/>
                <w:sz w:val="26"/>
                <w:szCs w:val="26"/>
                <w:lang w:val="vi-VN" w:eastAsia="en-GB"/>
              </w:rPr>
              <w:t>Có cơ sở dữ liệu về người sử dụng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CLTK14.2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Tổ chức tham khảo ý kiến người sử dụng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CLTK14.3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và phản ánh nhu cầu ưu tiên của người sử dụng thông tin thống kê vào chiến lược, kế hoạch công tác của cơ quan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CLTK14.4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Xây dựng và thực hiện chương trình hành động về cải thiện tính phù hợp của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CLTK14.5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tỷ lệ đầy đủ của số liệu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32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15. Bảo đảm tính chính xác và độ tin cậy</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CLTK15.1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và xác nhận tính hợp lý của dữ liệu nguồn với kết quả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CLTK15.2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một cách hệ thống sai số chọn mẫu</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CLTK15.3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một cách hệ thống sai số phi chọn mẫu</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CLTK15.4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tỷ lệ vượt quá phạm vi</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CLTK15.5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tỷ lệ đơn vị không trả lời</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CLTK15.6</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tỷ lệ khoản mục không trả lời</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CLTK15.7</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quy mô trung bình điều chỉnh số liệu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CLTK15.8</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tỷ lệ gán số liệu còn thiếu</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3A73CF" w:rsidRDefault="00F84A87" w:rsidP="00F84A87">
            <w:pPr>
              <w:spacing w:after="0" w:line="240" w:lineRule="auto"/>
              <w:jc w:val="both"/>
              <w:rPr>
                <w:rFonts w:ascii="Times New Roman Bold" w:eastAsia="Times New Roman" w:hAnsi="Times New Roman Bold"/>
                <w:b/>
                <w:bCs/>
                <w:color w:val="000000"/>
                <w:spacing w:val="-4"/>
                <w:sz w:val="26"/>
                <w:szCs w:val="26"/>
                <w:lang w:eastAsia="en-GB"/>
              </w:rPr>
            </w:pPr>
            <w:r w:rsidRPr="003A73CF">
              <w:rPr>
                <w:rFonts w:ascii="Times New Roman Bold" w:eastAsia="Times New Roman" w:hAnsi="Times New Roman Bold"/>
                <w:b/>
                <w:bCs/>
                <w:color w:val="000000"/>
                <w:spacing w:val="-4"/>
                <w:sz w:val="26"/>
                <w:szCs w:val="26"/>
                <w:lang w:val="vi-VN" w:eastAsia="en-GB"/>
              </w:rPr>
              <w:t>16. Bảo đảm tính kịp thời và tính đúng hạn</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CLTK16.1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thời gian trễ của kết quả đầu ra thống kê được công bố lần đầu</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CLTK16.2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thời gian trễ của kết quả đầu ra thống kê được công bố cuối cùng</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CLTK16.3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tính đúng hạn của kết quả đầu ra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CLTK16.4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Xây dựng và thực hiện chương trình hành động về cải thiện tính kịp thời và tính đúng hạn của kết quả đầu ra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32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17. Bảo đảm tính dễ tiếp cận, rõ ràng và dễ hiểu</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CLTK17.1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đơn vị thực hiện chức năng, nhiệm vụ hỗ trợ người sử dụng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98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CLTK17.2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định việc trình bày và lưu trữ số liệu thống kê, dữ liệu đặc tả thống kê, các xuất bản phẩm thống kê để bảo đảm dễ tiếp cận, rõ ràng, dễ hiểu</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CLTK17.3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danh mục các xuất bản phẩm và dịch vụ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CLTK17.4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Ứng dụng tối đa công nghệ thông tin và truyền thông trong hoạt động phổ biến, lưu trữ thông tin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CLTK17.5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quy định việc truy cập vào cơ sở dữ liệu thống kê vi mô</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264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CLTK17.6</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Công chức, viên chức được đào tạo, bồi dưỡng về các kỹ năng: Viết báo cáo phân tích thống kê; viết giải thích số liệu thống kê; viết thông cáo báo chí; trả lời phỏng vấn ...</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lastRenderedPageBreak/>
              <w:t>18. Bảo đảm tính chặt chẽ và tính so sánh</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CLTK18.1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Thực hiện việc đánh giá tính chặt chẽ và tính so sánh của số liệu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CLTK18.2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1C148C" w:rsidRDefault="00F84A87" w:rsidP="00F84A87">
            <w:pPr>
              <w:spacing w:after="0" w:line="240" w:lineRule="auto"/>
              <w:jc w:val="both"/>
              <w:rPr>
                <w:rFonts w:eastAsia="Times New Roman"/>
                <w:color w:val="000000"/>
                <w:spacing w:val="-4"/>
                <w:sz w:val="26"/>
                <w:szCs w:val="26"/>
                <w:lang w:eastAsia="en-GB"/>
              </w:rPr>
            </w:pPr>
            <w:r w:rsidRPr="001C148C">
              <w:rPr>
                <w:rFonts w:eastAsia="Times New Roman"/>
                <w:color w:val="000000"/>
                <w:spacing w:val="-4"/>
                <w:sz w:val="26"/>
                <w:szCs w:val="26"/>
                <w:lang w:val="vi-VN" w:eastAsia="en-GB"/>
              </w:rPr>
              <w:t>Có cơ sở dữ liệu tiêu chuẩn thống kê dùng chung</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231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CLTK18.3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1C148C" w:rsidRDefault="00F84A87" w:rsidP="00F84A87">
            <w:pPr>
              <w:spacing w:after="0" w:line="240" w:lineRule="auto"/>
              <w:jc w:val="both"/>
              <w:rPr>
                <w:rFonts w:eastAsia="Times New Roman"/>
                <w:color w:val="000000"/>
                <w:spacing w:val="-4"/>
                <w:sz w:val="26"/>
                <w:szCs w:val="26"/>
                <w:lang w:eastAsia="en-GB"/>
              </w:rPr>
            </w:pPr>
            <w:r w:rsidRPr="001C148C">
              <w:rPr>
                <w:rFonts w:eastAsia="Times New Roman"/>
                <w:color w:val="000000"/>
                <w:spacing w:val="-4"/>
                <w:sz w:val="26"/>
                <w:szCs w:val="26"/>
                <w:lang w:val="vi-VN" w:eastAsia="en-GB"/>
              </w:rPr>
              <w:t>Biên soạn số liệu thống kê từ các nguồn dữ liệu và chu kỳ khác nhau đều dựa trên các tiêu chuẩn chung về phạm vi, định nghĩa, đơn vị và phân loại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CLTK18.4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1C148C" w:rsidRDefault="00F84A87" w:rsidP="00F84A87">
            <w:pPr>
              <w:spacing w:after="0" w:line="240" w:lineRule="auto"/>
              <w:jc w:val="both"/>
              <w:rPr>
                <w:rFonts w:eastAsia="Times New Roman"/>
                <w:color w:val="000000"/>
                <w:spacing w:val="-4"/>
                <w:sz w:val="26"/>
                <w:szCs w:val="26"/>
                <w:lang w:eastAsia="en-GB"/>
              </w:rPr>
            </w:pPr>
            <w:r w:rsidRPr="001C148C">
              <w:rPr>
                <w:rFonts w:eastAsia="Times New Roman"/>
                <w:color w:val="000000"/>
                <w:spacing w:val="-4"/>
                <w:sz w:val="26"/>
                <w:szCs w:val="26"/>
                <w:lang w:val="vi-VN" w:eastAsia="en-GB"/>
              </w:rPr>
              <w:t>Xác định độ dài của dãy số thời gian có tính so sánh</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CLTK18.5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giải thích về các trường hợp ngắt quãng trong dãy số thời gian</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990"/>
          <w:jc w:val="center"/>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b/>
                <w:bCs/>
                <w:color w:val="000000"/>
                <w:sz w:val="26"/>
                <w:szCs w:val="26"/>
                <w:lang w:eastAsia="en-GB"/>
              </w:rPr>
            </w:pPr>
            <w:r w:rsidRPr="00951A15">
              <w:rPr>
                <w:rFonts w:eastAsia="Times New Roman"/>
                <w:b/>
                <w:bCs/>
                <w:color w:val="000000"/>
                <w:sz w:val="26"/>
                <w:szCs w:val="26"/>
                <w:lang w:val="vi-VN" w:eastAsia="en-GB"/>
              </w:rPr>
              <w:t>19. Quản lý dữ liệu đặc tả thống kê</w:t>
            </w: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CLTK19.1</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tài liệu hướng dẫn việc biên soạn dữ liệu đặc tả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165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CLTK19.2</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Công bố và phổ biến số liệu thống kê kèm theo dữ liệu đặc tả thống kê tương ứng, hoặc có chỉ dẫn đến dữ liệu đặc tả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CLTK19.3</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Có cơ sở dữ liệu đặc tả thống kê dùng chung</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r w:rsidR="00F84A87" w:rsidRPr="00951A15" w:rsidTr="003D579A">
        <w:trPr>
          <w:trHeight w:val="99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CLTK19.4</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Công chức, viên chức được đào tạo, bồi dưỡng về dữ liệu đặc tả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r>
      <w:tr w:rsidR="00F84A87" w:rsidRPr="00951A15" w:rsidTr="003D579A">
        <w:trPr>
          <w:trHeight w:val="660"/>
          <w:jc w:val="center"/>
        </w:trPr>
        <w:tc>
          <w:tcPr>
            <w:tcW w:w="1560" w:type="dxa"/>
            <w:vMerge/>
            <w:tcBorders>
              <w:top w:val="nil"/>
              <w:left w:val="single" w:sz="4" w:space="0" w:color="auto"/>
              <w:bottom w:val="single" w:sz="4" w:space="0" w:color="auto"/>
              <w:right w:val="single" w:sz="4" w:space="0" w:color="auto"/>
            </w:tcBorders>
            <w:vAlign w:val="center"/>
            <w:hideMark/>
          </w:tcPr>
          <w:p w:rsidR="00F84A87" w:rsidRPr="00951A15" w:rsidRDefault="00F84A87" w:rsidP="00F84A87">
            <w:pPr>
              <w:spacing w:after="0" w:line="240" w:lineRule="auto"/>
              <w:rPr>
                <w:rFonts w:eastAsia="Times New Roman"/>
                <w:b/>
                <w:bCs/>
                <w:color w:val="000000"/>
                <w:sz w:val="26"/>
                <w:szCs w:val="26"/>
                <w:lang w:eastAsia="en-GB"/>
              </w:rPr>
            </w:pPr>
          </w:p>
        </w:tc>
        <w:tc>
          <w:tcPr>
            <w:tcW w:w="1089"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center"/>
              <w:rPr>
                <w:rFonts w:eastAsia="Times New Roman"/>
                <w:color w:val="000000"/>
                <w:sz w:val="20"/>
                <w:szCs w:val="20"/>
                <w:lang w:eastAsia="en-GB"/>
              </w:rPr>
            </w:pPr>
            <w:r w:rsidRPr="00951A15">
              <w:rPr>
                <w:rFonts w:eastAsia="Times New Roman"/>
                <w:color w:val="000000"/>
                <w:sz w:val="20"/>
                <w:szCs w:val="20"/>
                <w:lang w:val="vi-VN" w:eastAsia="en-GB"/>
              </w:rPr>
              <w:t>CLTK19.5</w:t>
            </w:r>
          </w:p>
        </w:tc>
        <w:tc>
          <w:tcPr>
            <w:tcW w:w="2920" w:type="dxa"/>
            <w:tcBorders>
              <w:top w:val="nil"/>
              <w:left w:val="nil"/>
              <w:bottom w:val="single" w:sz="4" w:space="0" w:color="auto"/>
              <w:right w:val="single" w:sz="4" w:space="0" w:color="auto"/>
            </w:tcBorders>
            <w:shd w:val="clear" w:color="000000" w:fill="FFFFFF"/>
            <w:vAlign w:val="center"/>
            <w:hideMark/>
          </w:tcPr>
          <w:p w:rsidR="00F84A87" w:rsidRPr="00951A15" w:rsidRDefault="00F84A87" w:rsidP="00F84A87">
            <w:pPr>
              <w:spacing w:after="0" w:line="240" w:lineRule="auto"/>
              <w:jc w:val="both"/>
              <w:rPr>
                <w:rFonts w:eastAsia="Times New Roman"/>
                <w:color w:val="000000"/>
                <w:sz w:val="26"/>
                <w:szCs w:val="26"/>
                <w:lang w:eastAsia="en-GB"/>
              </w:rPr>
            </w:pPr>
            <w:r w:rsidRPr="00951A15">
              <w:rPr>
                <w:rFonts w:eastAsia="Times New Roman"/>
                <w:color w:val="000000"/>
                <w:sz w:val="26"/>
                <w:szCs w:val="26"/>
                <w:lang w:val="vi-VN" w:eastAsia="en-GB"/>
              </w:rPr>
              <w:t>Xác định tỷ lệ đầy đủ của dữ liệu đặc tả thống kê</w:t>
            </w:r>
          </w:p>
        </w:tc>
        <w:tc>
          <w:tcPr>
            <w:tcW w:w="953" w:type="dxa"/>
            <w:tcBorders>
              <w:top w:val="single" w:sz="4" w:space="0" w:color="auto"/>
              <w:left w:val="nil"/>
              <w:bottom w:val="single" w:sz="4" w:space="0" w:color="auto"/>
              <w:right w:val="nil"/>
            </w:tcBorders>
            <w:vAlign w:val="center"/>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r>
              <w:rPr>
                <w:rFonts w:eastAsia="Times New Roman"/>
                <w:color w:val="000000"/>
                <w:sz w:val="26"/>
                <w:szCs w:val="26"/>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c>
          <w:tcPr>
            <w:tcW w:w="1027" w:type="dxa"/>
            <w:tcBorders>
              <w:top w:val="nil"/>
              <w:left w:val="nil"/>
              <w:bottom w:val="single" w:sz="4" w:space="0" w:color="auto"/>
              <w:right w:val="single" w:sz="4" w:space="0" w:color="auto"/>
            </w:tcBorders>
            <w:shd w:val="clear" w:color="auto" w:fill="auto"/>
            <w:noWrap/>
            <w:vAlign w:val="center"/>
            <w:hideMark/>
          </w:tcPr>
          <w:p w:rsidR="00F84A87" w:rsidRPr="00951A15" w:rsidRDefault="00F84A87" w:rsidP="00F84A87">
            <w:pPr>
              <w:spacing w:after="0" w:line="240" w:lineRule="auto"/>
              <w:jc w:val="center"/>
              <w:rPr>
                <w:rFonts w:eastAsia="Times New Roman"/>
                <w:color w:val="000000"/>
                <w:sz w:val="26"/>
                <w:szCs w:val="26"/>
                <w:lang w:eastAsia="en-GB"/>
              </w:rPr>
            </w:pPr>
          </w:p>
        </w:tc>
      </w:tr>
    </w:tbl>
    <w:p w:rsidR="00951A15" w:rsidRDefault="00951A15" w:rsidP="000E4641">
      <w:pPr>
        <w:jc w:val="center"/>
      </w:pPr>
    </w:p>
    <w:sectPr w:rsidR="00951A15" w:rsidSect="000E5FC7">
      <w:headerReference w:type="default" r:id="rId7"/>
      <w:pgSz w:w="11906" w:h="16838"/>
      <w:pgMar w:top="1134" w:right="1134" w:bottom="1134" w:left="1701" w:header="28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59" w:rsidRDefault="00B63A59" w:rsidP="003A73CF">
      <w:pPr>
        <w:spacing w:after="0" w:line="240" w:lineRule="auto"/>
      </w:pPr>
      <w:r>
        <w:separator/>
      </w:r>
    </w:p>
  </w:endnote>
  <w:endnote w:type="continuationSeparator" w:id="0">
    <w:p w:rsidR="00B63A59" w:rsidRDefault="00B63A59" w:rsidP="003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59" w:rsidRDefault="00B63A59" w:rsidP="003A73CF">
      <w:pPr>
        <w:spacing w:after="0" w:line="240" w:lineRule="auto"/>
      </w:pPr>
      <w:r>
        <w:separator/>
      </w:r>
    </w:p>
  </w:footnote>
  <w:footnote w:type="continuationSeparator" w:id="0">
    <w:p w:rsidR="00B63A59" w:rsidRDefault="00B63A59" w:rsidP="003A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614212"/>
      <w:docPartObj>
        <w:docPartGallery w:val="Page Numbers (Top of Page)"/>
        <w:docPartUnique/>
      </w:docPartObj>
    </w:sdtPr>
    <w:sdtEndPr>
      <w:rPr>
        <w:noProof/>
      </w:rPr>
    </w:sdtEndPr>
    <w:sdtContent>
      <w:p w:rsidR="003A73CF" w:rsidRDefault="003A73CF">
        <w:pPr>
          <w:pStyle w:val="Header"/>
          <w:jc w:val="center"/>
        </w:pPr>
        <w:r>
          <w:fldChar w:fldCharType="begin"/>
        </w:r>
        <w:r>
          <w:instrText xml:space="preserve"> PAGE   \* MERGEFORMAT </w:instrText>
        </w:r>
        <w:r>
          <w:fldChar w:fldCharType="separate"/>
        </w:r>
        <w:r w:rsidR="000E5FC7">
          <w:rPr>
            <w:noProof/>
          </w:rPr>
          <w:t>10</w:t>
        </w:r>
        <w:r>
          <w:rPr>
            <w:noProof/>
          </w:rPr>
          <w:fldChar w:fldCharType="end"/>
        </w:r>
      </w:p>
    </w:sdtContent>
  </w:sdt>
  <w:p w:rsidR="003A73CF" w:rsidRDefault="003A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71F9"/>
    <w:multiLevelType w:val="hybridMultilevel"/>
    <w:tmpl w:val="FC08528A"/>
    <w:lvl w:ilvl="0" w:tplc="4E8479A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41"/>
    <w:rsid w:val="00007A3A"/>
    <w:rsid w:val="000620DB"/>
    <w:rsid w:val="000E4641"/>
    <w:rsid w:val="000E5FC7"/>
    <w:rsid w:val="001665B6"/>
    <w:rsid w:val="001C148C"/>
    <w:rsid w:val="001F3A20"/>
    <w:rsid w:val="00293A60"/>
    <w:rsid w:val="0035233A"/>
    <w:rsid w:val="003A73CF"/>
    <w:rsid w:val="003D579A"/>
    <w:rsid w:val="003F66F7"/>
    <w:rsid w:val="005409E7"/>
    <w:rsid w:val="005D4C3B"/>
    <w:rsid w:val="006B3264"/>
    <w:rsid w:val="008D059D"/>
    <w:rsid w:val="00951A15"/>
    <w:rsid w:val="00AF6675"/>
    <w:rsid w:val="00B63A59"/>
    <w:rsid w:val="00BF46D9"/>
    <w:rsid w:val="00CB40D3"/>
    <w:rsid w:val="00D07A36"/>
    <w:rsid w:val="00DD5FC1"/>
    <w:rsid w:val="00E8607B"/>
    <w:rsid w:val="00F402C3"/>
    <w:rsid w:val="00F84A87"/>
    <w:rsid w:val="00FD36A8"/>
    <w:rsid w:val="00F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3DC3-36DE-472A-878C-C2090C11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8C"/>
    <w:pPr>
      <w:ind w:left="720"/>
      <w:contextualSpacing/>
    </w:pPr>
  </w:style>
  <w:style w:type="paragraph" w:styleId="BalloonText">
    <w:name w:val="Balloon Text"/>
    <w:basedOn w:val="Normal"/>
    <w:link w:val="BalloonTextChar"/>
    <w:uiPriority w:val="99"/>
    <w:semiHidden/>
    <w:unhideWhenUsed/>
    <w:rsid w:val="00E86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7B"/>
    <w:rPr>
      <w:rFonts w:ascii="Segoe UI" w:hAnsi="Segoe UI" w:cs="Segoe UI"/>
      <w:sz w:val="18"/>
      <w:szCs w:val="18"/>
    </w:rPr>
  </w:style>
  <w:style w:type="paragraph" w:styleId="Header">
    <w:name w:val="header"/>
    <w:basedOn w:val="Normal"/>
    <w:link w:val="HeaderChar"/>
    <w:uiPriority w:val="99"/>
    <w:unhideWhenUsed/>
    <w:rsid w:val="003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3CF"/>
  </w:style>
  <w:style w:type="paragraph" w:styleId="Footer">
    <w:name w:val="footer"/>
    <w:basedOn w:val="Normal"/>
    <w:link w:val="FooterChar"/>
    <w:uiPriority w:val="99"/>
    <w:unhideWhenUsed/>
    <w:rsid w:val="003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Quý</dc:creator>
  <cp:keywords/>
  <dc:description/>
  <cp:lastModifiedBy>Hoàng Thị Quý</cp:lastModifiedBy>
  <cp:revision>7</cp:revision>
  <cp:lastPrinted>2022-06-08T04:11:00Z</cp:lastPrinted>
  <dcterms:created xsi:type="dcterms:W3CDTF">2022-06-06T03:59:00Z</dcterms:created>
  <dcterms:modified xsi:type="dcterms:W3CDTF">2022-06-08T04:11:00Z</dcterms:modified>
</cp:coreProperties>
</file>